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ind w:firstLine="0" w:firstLineChars="0"/>
        <w:jc w:val="center"/>
        <w:textAlignment w:val="auto"/>
      </w:pPr>
      <w:bookmarkStart w:id="0" w:name="_GoBack"/>
      <w:bookmarkEnd w:id="0"/>
      <w:r>
        <w:t>中国成人教育协会2024年工作要点</w:t>
      </w:r>
    </w:p>
    <w:p>
      <w:pPr>
        <w:keepNext w:val="0"/>
        <w:keepLines w:val="0"/>
        <w:pageBreakBefore w:val="0"/>
        <w:widowControl w:val="0"/>
        <w:kinsoku/>
        <w:wordWrap/>
        <w:overflowPunct/>
        <w:topLinePunct w:val="0"/>
        <w:autoSpaceDE/>
        <w:autoSpaceDN/>
        <w:bidi w:val="0"/>
        <w:adjustRightInd/>
        <w:snapToGrid/>
        <w:spacing w:line="360" w:lineRule="auto"/>
        <w:ind w:firstLine="588" w:firstLineChars="200"/>
        <w:textAlignment w:val="auto"/>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2024年，中国成人教育协会工作的总体思路是：以习近平新时代中国特色社会主义思想为指导，全面贯彻党的二十大精神，深入学习贯彻习近平总书记关于教育的重要论述，深刻领悟“两个确立”的决定性意义，增强“四个意识”、坚定“四个自信”、做到“两个维护”，坚持党对成人继续教育工作的全面领导，全面贯彻党的教育方针；坚持稳中求进、以进促稳、先立后破，围绕教育部中心工作和成人继续教育重点工作，认真落实教育强国建设重点任务，发展新质生产力，在提高学习型社会建设质量、构筑更加高效、联结的学习环境，建设更加丰富、多样的学习资源，促进全民终身学习、探索具有中国特色的成人继续教育新发展格局之路。</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一、深入学习党的二十大精神和习近平总书记系列重要讲话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教育部的部署和要求，深入学习党的二十大精神和习近平总书记系列重要讲话，坚持不懈用习近平新时代中国特色社会主义思想指导协会工作，自觉在思想上政治上行动上同以习近平同志为核心的党中央保持高度一致；坚定不移加强党对成人继续教育工作的全面领导，确保协会工作始终沿着正确的政治方向前进。充分发挥功能型党支部的作用，自觉服务国家、服务社会、服务群众、服务行业。</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二、围绕教育部《学习型社会建设重点任务》做实做细做好专项工作</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color w:val="000000"/>
          <w:sz w:val="28"/>
          <w:szCs w:val="28"/>
          <w:u w:val="none"/>
        </w:rPr>
      </w:pPr>
      <w:r>
        <w:rPr>
          <w:rStyle w:val="6"/>
          <w:rFonts w:hint="eastAsia" w:asciiTheme="minorEastAsia" w:hAnsiTheme="minorEastAsia" w:eastAsiaTheme="minorEastAsia" w:cstheme="minorEastAsia"/>
          <w:color w:val="000000"/>
          <w:sz w:val="28"/>
          <w:szCs w:val="28"/>
          <w:u w:val="none"/>
        </w:rPr>
        <w:t>（一）持续推进学习型城市建设工作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组织专家队伍配合教育部职成司做好学习型城市建设监测指标体系的完善工作，推动各市学习型城市建设工作；组织更多城市加入全国学习型城市网络，扩大城市网络数量。</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1.宣传贯彻学习型城市建设任务清单和监测指标；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2.配合教育部职成司启动第二批申请加入全国学习型城市网络相关工作；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3.举办学习型城市经验交流与培训会；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4.正式出版《中国学习型城市建设十年发展报告（2013-2023）》；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5.宣传全球学习型城市网络典型案例，配合中国联合国教科文全委会秘书处做好全球学习型城市网络成员推介工作。</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（二）持续办好全民终身学习活动周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根据教育部2024年全民终身学习活动的有关部署，积极推动各地广泛开展全民终身学习活动周。</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1.开展全民阅读活动，继续组织社长总编荐书活动；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2.开展线上线下结合的社会教育大讲堂活动，每月推出一期；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3.开展新时代全国“百姓学习之星”宣传推介活动，在重大节日宣传历届不同主题的学习之星；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4.做好活动周总开幕式的有关主题展示及协调工作；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5.活动周二十年的回顾与展望宣传工作；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6.做好百姓学习之星宣传片。</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（三）助力县域社区学习中心建设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以全国社区教育实验区示范区、农村职业教育和成人教育示范县建设与监测为工作为抓手，助力县域社区学习中心建设。</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1.正式出版《社区教育案例百选》；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2.征集出版《职成教育助力乡村振兴案例百选》；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3.组织开展县域社区学习中心建设培训；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4.开展“百校千企万人 助力乡村振兴”活动。</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（四）加强平台建设服务三教统筹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智慧继教”平台建设、“继续教育发展共同体”和高等学校学历继续教育高质量发展研讨会等交流平台为抓手，在学历继续教育教学改革创新、推进非学历教育改革创新、探索三教统筹协同创新路径有所作为。同时，依托全民终身学习公共服务平台，开展优质学习资源建设。</w:t>
      </w:r>
    </w:p>
    <w:p>
      <w:pPr>
        <w:keepNext w:val="0"/>
        <w:keepLines w:val="0"/>
        <w:pageBreakBefore w:val="0"/>
        <w:widowControl w:val="0"/>
        <w:kinsoku/>
        <w:wordWrap/>
        <w:overflowPunct/>
        <w:topLinePunct w:val="0"/>
        <w:autoSpaceDE/>
        <w:autoSpaceDN/>
        <w:bidi w:val="0"/>
        <w:adjustRightInd/>
        <w:snapToGrid/>
        <w:spacing w:line="360" w:lineRule="auto"/>
        <w:ind w:firstLine="589" w:firstLineChars="200"/>
        <w:textAlignment w:val="auto"/>
        <w:rPr>
          <w:rStyle w:val="6"/>
          <w:rFonts w:hint="eastAsia" w:asciiTheme="minorEastAsia" w:hAnsiTheme="minorEastAsia" w:eastAsiaTheme="minorEastAsia" w:cstheme="minorEastAsia"/>
          <w:spacing w:val="7"/>
          <w:sz w:val="28"/>
          <w:szCs w:val="28"/>
        </w:rPr>
      </w:pPr>
      <w:r>
        <w:rPr>
          <w:rStyle w:val="6"/>
          <w:rFonts w:hint="eastAsia" w:asciiTheme="minorEastAsia" w:hAnsiTheme="minorEastAsia" w:eastAsiaTheme="minorEastAsia" w:cstheme="minorEastAsia"/>
          <w:spacing w:val="7"/>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1.联合高等教育出版社建设“智慧继教”平台；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2.开展“继续教育发展共同体”项目；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3.组织开展“三教统筹”高质量发展研讨会；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4.推出一批以职继教育数字化建设为主题的品牌活动和周期性、品牌化、精品化的职继数字化建设培训项目。</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（五）创新发展老年教育和服务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继续围绕积极应对人口老龄化国家战略，稳妥有序开展各项工作，不断推进我国养老事业高质量发展。</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1.举办银发经济与康养人才培养系列主题活动；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2.召开养老管理与服务专业课程教材建设学术交流会，探索举办双定向养老护理员培训项目；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3.将服务老龄化社会与助力乡村振兴相结合，创新推动巩固拓展脱贫攻坚成果；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4.搭建养老理论和政策研究交流平台，积极推广老龄化社会需求趋势和康养服务创新经验。</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（六）推进城市和农村社区学习中心（CLC）能力建设项目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进一步做好由中国联合国教科文组织全国委员会秘书处和联合国教科文组织驻华代表处立项的城市社区学习中心（CLC）能力建设项目。开展农村社区学习中心（CLC）项目培训。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1.做好城市CLC第二期子项目的中期检查评估工作；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2.编写城市CLC能力建设项目发展报告,启动《中国城市CLC探索与实践》一书的编写工作；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3.继续开展城市CLC项目各实验点的能力提升培训和研修活动，开好2024年项目专家扩大会和项目推进会以及南京国际会议；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4.组织开展城市CLC项目全实验点的调研，加强交流；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5.密切结合农业农村生产生活的实用性成人教育短期培训课程和典型实践经验，推广到农村社区学习中心（CLC）项目试点开展培训；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6.针对试点县区农村社区学习中心开展现状调研，丰富农村CLC建设的理论和实践。</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三、积极推进数字化赋能学习型社会建设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字化成为我国开辟教育发展新赛道和塑造教育发展新优势的重要突破口，为构建学习型社会、学习型大国带来了新机遇，人人皆学、处处能学、时时可学已成为可能。协会要通过宣传推介“终身学习品牌项目”，大力推广在线学习。按照“搭建全天候的数字化学习平台、全场域的数字化学习空间、全覆盖的数字教育共同体”的目标要求，推介优质在线课程资源，让更多有心人、有志者能够随时随地参与学习教育。打造数字继续教育的中国方案，切实以数字化推动新时代继续教育高质量发展、助力继续教育强国建设。</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1.探索“数字赋能”“信息素养”为主题的相关学术交流、专项课题、平台建设、培训项目等；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2.持续探索“数字化终身学习平台”宣传推介工作；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3.加大对数字赋能全民终身学习品牌项目在新时代“终身学习品牌项目”中的宣传推介力度；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4.结合创新与智慧教育数字化内容举办全民终身学习巡展系列活动；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5.推动各分支机构积极开展教育数字化活动</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四、做好延期换届工作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协会延期换届工作。</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1.做好与教育部、民政部相关单位的沟通工作；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2.完成延期换届的决策程序（会长办公会议决议、理事大会决议）；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3.取得教育部、民政部延期换届的批复。</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五、强化学术引领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发挥中国成人教育协会在成人教育学术科研方面的引领作用，搭建成人继续教育领域的学术交流平台，推动成人继续教育创新发展。</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1.开好2024年中国成人教育协会学术年会；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2.与南京大学、江苏省成协共同举办好“2024终身学习赋能城市可持续发展国际研讨会”；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3.1-2次学术委员会全体会议；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4.加强“十四五”科研规划课题的立项、过程指导、管理及结题鉴定工作；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5.做好终身教育项目研究基地研究课题的立项指导和服务工作；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6.积极开展多种形式的科研合作，培育学术科研骨干和团队，推进成人教育理论研究运用于实践；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7.与科研机构、高校、职业院校、社区学院（老年大学）加强联系与学术互动，拓展资源，建立机制，提升服务功能；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8.加强科研成果的推广和转化，支持、协助出版优秀论文、案例和研究报告；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9.推动各分支机构积极开展本领域内的课题研究。</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六、协助做好教育帮扶工作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充分发挥全国性社会团体自身优势，组织会员单位和各分支机构创新帮扶举措，加强组织落实，提高帮扶实效，配合教育部职成司做好西藏萨嘎县、甘肃积石山县、临潭县和舟曲县教育帮扶工作。</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1.组织有关出版社提供一批优质图书，丰富帮扶县中小学、幼儿园学生阅读资源，助力打造书香校园；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2.提供一批教师继续教育数字化课程资源，支持帮扶县教师提高素质能力；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3.支持帮扶县教师参加相关继续教育培训班，助力教师素质提高；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同时助力国家乡村振兴和社区教育信息化工作，针对欠发达地区农村、基层社区教育机构优质课程资源匮乏，基础设施不足、网络受限，优质学习资源输送困难等问题，实施“智富云课堂”进乡村项目、面向基层社区教育机构的“社区云课堂”和“社区学习驿站”项目。</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七、推进成人继续教育培训工作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依托各分支机构专业优势，积极推进继续教育重点人群的教育培训，推出一系列高质量、高水平、高标准的各类优质培训项目，形成一批有影响力的培训品牌。</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1.鼓励各分支机构发挥专业特长，组织开展社区居民、老年人和职业院校教师、继续教育学院教师等学习服务和教育培训，设计符合其实际需求的课程和培训项目，提供多样化的学习方式；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2.开展社区教育工作者的针对性培训；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3.推动各分支机构积极开展本领域内的专业培训；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4.鼓励各会员单位积极与协会联合开展各类培训和会议。</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八、做好服务工作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协会将不断提升自身服务能力，优化服务流程，提高服务质量，为会员单位和广大成人学习者提供更加优质、高效的服务。</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1.搭建全国各省级学分银行、市级学分银行、教育行政部门、院校等会员间的学习交流合作平台，积极探索跨区域学分认定转换标准体系的应用与推广；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2.继续推进“职业院校服务全民终身学习项目”“区域终身学习发展共同体项目” “家校社协同育人实验基地项目”；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3.开展家庭教育、科技科普教育、教师继续教育、非遗文化传承、职继数字化建设、文化创意教育等视频课程资源共建共享活动；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4.开展老年教育、成人外语、教师继续教育等各类课题研究；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5.征集出版“职业院校服务全民终身学习典型案例”“新时代家庭教育工作案例”“工程技术专业教育的案例”等；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6.坚决贯彻习惯过紧日子的要求，压实责任，不断完善制度措施，让过紧日子成为协会各种活动自觉遵循的原则，形成长期过紧日子的良好氛围。</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九、加强宣传工作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加强与地方教育部门、成人教育协会、会员单位的联系，广泛宣传推广成人继续教育工作。</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具体举措：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1.通过充分利用中国成协门户网站、公众号、视频号和全民终身学习公共服务平台等各类媒体资源，开展线上宣传活动，发布新闻动态、政策解读、典型案例、系列主题宣传活动等；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2.通过举办讲座、研讨会、培训班等活动，向广大从业人员和社区居民普及成人继续教育的理念、政策和实践，提高居民参与意识和积极性；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3.通过举办成果展示会、经验交流会等形式，向社会各界展示成人继续教育的成果和亮点；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4.多种形式积极宣传成人教育标准化的重要意义，大力开展标准化人才培训；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5.组织会员单位参加中国国际服务贸易交易会等大型会议和活动。</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十、加强协会队伍建设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视队伍建设，通过培训、交流等方式，提高队伍素质和能力，打造一支高素质、专业化的工作团队，为协会各项工作提供有力保障。从会员单位中征集有关成人继续教育专家，完善协会和各分支机构专家库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1.补充调整协会“全民终身学习活动周”“学习型城市”“社区学习中心”等专家库；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2.完善学术委员会专家库建设；3.完善各分支机构专家库建设。</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Style w:val="6"/>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十一、加强国际交流与合作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加强国际交流与合作，讲好中国成人继续教育的故事，传递中国声音，展现中国形象。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1.积极参加2024世界数字教育大会，协办教育数字化与学习型社会建设平行会议并以“数字化赋能全民终身学习 加快建设学习型社会”为题进行发言，发布世界数字教育大会解读文章，做好会议成果转化；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2.加强与中国联合国教科文合作，创新开展国际交流项目；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6"/>
          <w:rFonts w:hint="eastAsia" w:asciiTheme="minorEastAsia" w:hAnsiTheme="minorEastAsia" w:eastAsiaTheme="minorEastAsia" w:cstheme="minorEastAsia"/>
          <w:i w:val="0"/>
          <w:iCs w:val="0"/>
          <w:caps w:val="0"/>
          <w:color w:val="915335"/>
          <w:spacing w:val="7"/>
          <w:sz w:val="28"/>
          <w:szCs w:val="28"/>
          <w:shd w:val="clear" w:fill="FEF7EA"/>
        </w:rPr>
      </w:pPr>
      <w:r>
        <w:rPr>
          <w:rFonts w:hint="eastAsia" w:asciiTheme="minorEastAsia" w:hAnsiTheme="minorEastAsia" w:eastAsiaTheme="minorEastAsia" w:cstheme="minorEastAsia"/>
          <w:sz w:val="28"/>
          <w:szCs w:val="28"/>
        </w:rPr>
        <w:t>3.加强与国际成人教育协会、联合国教科文、联合国教科文组织国际农村教育研究与培训中心等单位合作；4.积极参加国际会议，共同探讨成人继续教育的未来发展趋势和挑战。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Microsoft YaHei UI">
    <w:altName w:val="苹方-简"/>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ODYwYjBkYTJiZTNlYTYwOTdiOTUxODJjYzJmZGYifQ=="/>
  </w:docVars>
  <w:rsids>
    <w:rsidRoot w:val="00000000"/>
    <w:rsid w:val="4BFC50D0"/>
    <w:rsid w:val="61230766"/>
    <w:rsid w:val="73AD08A3"/>
    <w:rsid w:val="F735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ind w:firstLine="460" w:firstLineChars="200"/>
      <w:outlineLvl w:val="0"/>
    </w:pPr>
    <w:rPr>
      <w:rFonts w:eastAsia="方正小标宋简体" w:asciiTheme="minorAscii" w:hAnsiTheme="minorAscii"/>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2024-05-20T10:34:00Z</dcterms:created>
  <dc:creator>de'l'l</dc:creator>
  <cp:lastModifiedBy>-'〰'-可达鸭鸭</cp:lastModifiedBy>
  <dcterms:modified xsi:type="dcterms:W3CDTF">2024-05-22T10:18:05Z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0ACD2E89831CF1D0D4554D6682C0F67F_43</vt:lpwstr>
  </property>
</Properties>
</file>